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DC0D41" w:rsidRPr="00DC0D41" w:rsidTr="002F4CB9">
        <w:trPr>
          <w:trHeight w:val="2740"/>
        </w:trPr>
        <w:tc>
          <w:tcPr>
            <w:tcW w:w="4962" w:type="dxa"/>
            <w:shd w:val="clear" w:color="auto" w:fill="auto"/>
          </w:tcPr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00075" cy="800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DC0D41" w:rsidRPr="00DC0D41" w:rsidRDefault="00DC0D41" w:rsidP="00DC0D4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МИНИСТАРСТВО</w:t>
            </w:r>
          </w:p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УНУТРАШЊЕ И СПОЉНЕ ТРГОВИНЕ</w:t>
            </w:r>
          </w:p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Број</w:t>
            </w:r>
            <w:proofErr w:type="spellEnd"/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330-00-111/2019-11</w:t>
            </w:r>
          </w:p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A47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године</w:t>
            </w:r>
          </w:p>
          <w:p w:rsid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:rsid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A3BDC" w:rsidRPr="00DC0D41" w:rsidRDefault="003A3BDC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A48B4" w:rsidRDefault="003A3BDC" w:rsidP="002A48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ИЗВЕШТАЈ О ЈАВНИМ КОНСУЛТАЦИЈАМА ЗА </w:t>
      </w:r>
      <w:r w:rsidR="00634AF7"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АКЦИОНИ ПЛАН СТРАТЕГИЈЕ ЗАШТИТЕ ПОТРОШАЧА 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ЗА ПЕРИОД 2019</w:t>
      </w:r>
      <w:r w:rsidR="00AA4782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-</w:t>
      </w:r>
      <w:r w:rsidR="00AA4782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2024. ГОДИНЕ,</w:t>
      </w:r>
    </w:p>
    <w:p w:rsidR="00FC3816" w:rsidRPr="002A48B4" w:rsidRDefault="00634AF7" w:rsidP="002A48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</w:pP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ЗА ПЕРИОД 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ОД </w:t>
      </w: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2023</w:t>
      </w:r>
      <w:r w:rsidR="00F750B8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 ДО </w:t>
      </w: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2024. </w:t>
      </w:r>
      <w:proofErr w:type="spellStart"/>
      <w:proofErr w:type="gramStart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године</w:t>
      </w:r>
      <w:proofErr w:type="spellEnd"/>
      <w:proofErr w:type="gramEnd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2A48B4" w:rsidRDefault="002A48B4">
      <w:pPr>
        <w:spacing w:before="100" w:after="50" w:line="288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C3816" w:rsidRPr="001B5133" w:rsidRDefault="00634AF7">
      <w:pPr>
        <w:spacing w:before="100" w:after="5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Предлагач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Министарство</w:t>
      </w:r>
      <w:proofErr w:type="spellEnd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1E30ED" w:rsidRPr="001B5133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унутрашње и спољне </w:t>
      </w:r>
      <w:proofErr w:type="spellStart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трговине</w:t>
      </w:r>
      <w:proofErr w:type="spellEnd"/>
    </w:p>
    <w:p w:rsidR="00FC3816" w:rsidRDefault="00634AF7">
      <w:pPr>
        <w:spacing w:before="100" w:after="0" w:line="288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Укупно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време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трајања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процеса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17 </w:t>
      </w:r>
      <w:proofErr w:type="spellStart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дана</w:t>
      </w:r>
      <w:proofErr w:type="spellEnd"/>
    </w:p>
    <w:p w:rsidR="003A3BDC" w:rsidRPr="001B5133" w:rsidRDefault="003A3BDC">
      <w:pPr>
        <w:spacing w:before="100"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thick" w:sz="20" w:space="0" w:color="auto"/>
          <w:left w:val="thick" w:sz="20" w:space="0" w:color="auto"/>
          <w:bottom w:val="thick" w:sz="20" w:space="0" w:color="auto"/>
          <w:right w:val="thick" w:sz="20" w:space="0" w:color="auto"/>
          <w:insideH w:val="single" w:sz="0" w:space="0" w:color="auto"/>
          <w:insideV w:val="single" w:sz="0" w:space="0" w:color="auto"/>
        </w:tblBorders>
        <w:tblCellMar>
          <w:top w:w="70" w:type="dxa"/>
          <w:left w:w="70" w:type="dxa"/>
          <w:bottom w:w="9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6445"/>
      </w:tblGrid>
      <w:tr w:rsidR="001E30ED" w:rsidRPr="001B5133" w:rsidTr="001E30ED">
        <w:tc>
          <w:tcPr>
            <w:tcW w:w="11000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ПОЧЕТАК РАДА НА ДОКУМЕНТУ </w:t>
            </w:r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НАСЛОВ</w:t>
            </w:r>
          </w:p>
        </w:tc>
        <w:tc>
          <w:tcPr>
            <w:tcW w:w="7000" w:type="dxa"/>
          </w:tcPr>
          <w:p w:rsidR="00FC3816" w:rsidRPr="001B5133" w:rsidRDefault="00C0665D" w:rsidP="00AA4782">
            <w:pPr>
              <w:spacing w:before="10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Предлог</w:t>
            </w:r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Акционог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78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тратегије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потрошача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2019 - 2024. </w:t>
            </w:r>
            <w:proofErr w:type="spellStart"/>
            <w:proofErr w:type="gram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A478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2023. </w:t>
            </w:r>
            <w:proofErr w:type="spellStart"/>
            <w:proofErr w:type="gram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2024.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7000" w:type="dxa"/>
          </w:tcPr>
          <w:p w:rsidR="00FC3816" w:rsidRPr="001B5133" w:rsidRDefault="00C0665D" w:rsidP="00AA4782">
            <w:pPr>
              <w:spacing w:before="10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Предлог</w:t>
            </w:r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Акционог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стратегије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потрошача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2019 - 2024. </w:t>
            </w:r>
            <w:proofErr w:type="spellStart"/>
            <w:proofErr w:type="gram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A478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2023. </w:t>
            </w:r>
            <w:proofErr w:type="spellStart"/>
            <w:proofErr w:type="gram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2024.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7000" w:type="dxa"/>
          </w:tcPr>
          <w:p w:rsidR="00FC3816" w:rsidRPr="00292F72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23.03.2023</w:t>
            </w:r>
            <w:r w:rsid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1E30ED" w:rsidRPr="001B5133" w:rsidTr="001E30ED">
        <w:tc>
          <w:tcPr>
            <w:tcW w:w="11000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ПОЛАЗНЕ ОСНОВЕ</w:t>
            </w:r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7000" w:type="dxa"/>
          </w:tcPr>
          <w:p w:rsidR="00292F72" w:rsidRDefault="00292F72" w:rsidP="0029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Акциони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8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спровођење</w:t>
            </w:r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Стратегије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заштите потрошача</w:t>
            </w:r>
            <w:r w:rsidRPr="008E18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за период 20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19 - </w:t>
            </w:r>
            <w:r w:rsidRPr="008E18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 w:rsidRPr="008E18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е, </w:t>
            </w:r>
            <w:r w:rsidR="0000129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период од 2023. до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године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операционализације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остваривања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посебних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циљева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предвиђених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Стратегијом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заштите потрошача</w:t>
            </w:r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- </w:t>
            </w:r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</w:t>
            </w:r>
            <w:proofErr w:type="gram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РС”, </w:t>
            </w:r>
            <w:proofErr w:type="spellStart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8E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93</w:t>
            </w:r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Pr="008E18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0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816" w:rsidRPr="001B5133" w:rsidRDefault="00801734" w:rsidP="00001292">
            <w:pPr>
              <w:spacing w:before="10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Акциони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Стратегије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потрошача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2019 - 2024. </w:t>
            </w:r>
            <w:proofErr w:type="spellStart"/>
            <w:proofErr w:type="gram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129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2023. </w:t>
            </w:r>
            <w:proofErr w:type="spellStart"/>
            <w:proofErr w:type="gram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2024. </w:t>
            </w:r>
            <w:proofErr w:type="spellStart"/>
            <w:proofErr w:type="gram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саставни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део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Стратегије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потрошача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2019 - 2024. </w:t>
            </w:r>
            <w:proofErr w:type="spellStart"/>
            <w:proofErr w:type="gram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којим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дефинисан</w:t>
            </w:r>
            <w:proofErr w:type="spellEnd"/>
            <w:r w:rsid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надлежне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институције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партнери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спровођење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рокови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циљева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односно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Стратегија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потрошача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2019 - 2024. </w:t>
            </w:r>
            <w:proofErr w:type="spellStart"/>
            <w:proofErr w:type="gram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усвојена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пратећим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Акционим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планом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Стратегије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потрошача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2019 - 2022. </w:t>
            </w:r>
            <w:proofErr w:type="spellStart"/>
            <w:proofErr w:type="gram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након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истека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 xml:space="preserve">на који се односио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Акциони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292F72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292F72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292F72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2019 - 2022. </w:t>
            </w:r>
            <w:proofErr w:type="spellStart"/>
            <w:proofErr w:type="gramStart"/>
            <w:r w:rsidR="00292F72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неопходно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усвајање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Акционог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ће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дефинисати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циљеве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рокове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надлежне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институције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00129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00129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2024. </w:t>
            </w:r>
            <w:proofErr w:type="spellStart"/>
            <w:proofErr w:type="gramStart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Датум</w:t>
            </w:r>
            <w:proofErr w:type="spellEnd"/>
          </w:p>
        </w:tc>
        <w:tc>
          <w:tcPr>
            <w:tcW w:w="7000" w:type="dxa"/>
          </w:tcPr>
          <w:p w:rsidR="00FC3816" w:rsidRPr="00E32996" w:rsidRDefault="00B15A34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11.04.2023.</w:t>
            </w:r>
            <w:r w:rsidR="00E329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</w:t>
            </w:r>
          </w:p>
        </w:tc>
      </w:tr>
    </w:tbl>
    <w:p w:rsidR="00FC3816" w:rsidRPr="001B5133" w:rsidRDefault="00FC3816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</w:p>
    <w:p w:rsidR="00FC3816" w:rsidRDefault="00634AF7">
      <w:pPr>
        <w:spacing w:after="50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КОНСУЛТАТИВНИ ПРОЦЕС</w:t>
      </w:r>
    </w:p>
    <w:p w:rsidR="009F37BC" w:rsidRPr="009F37BC" w:rsidRDefault="009F37BC" w:rsidP="009F37BC">
      <w:pPr>
        <w:spacing w:after="5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унутрашње и спољне трговине </w:t>
      </w:r>
      <w:proofErr w:type="spellStart"/>
      <w:r w:rsidRPr="009F37B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7BC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9F37BC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9F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2023. године </w:t>
      </w:r>
      <w:proofErr w:type="spellStart"/>
      <w:r w:rsidRPr="009F37BC">
        <w:rPr>
          <w:rFonts w:ascii="Times New Roman" w:hAnsi="Times New Roman" w:cs="Times New Roman"/>
          <w:sz w:val="24"/>
          <w:szCs w:val="24"/>
        </w:rPr>
        <w:t>поставило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Pr="009F37BC">
        <w:rPr>
          <w:rFonts w:ascii="Times New Roman" w:hAnsi="Times New Roman" w:cs="Times New Roman"/>
          <w:sz w:val="24"/>
          <w:szCs w:val="24"/>
        </w:rPr>
        <w:t xml:space="preserve"> </w:t>
      </w:r>
      <w:r w:rsidRPr="009F37BC">
        <w:rPr>
          <w:rFonts w:ascii="Times New Roman" w:hAnsi="Times New Roman" w:cs="Times New Roman"/>
          <w:sz w:val="24"/>
          <w:szCs w:val="24"/>
          <w:lang w:val="sr-Cyrl-RS"/>
        </w:rPr>
        <w:t>акционог плана Стратегије заштите потрошача за период 2019 – 2024. године, за период од 2023 до 2024.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F37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портал </w:t>
      </w:r>
      <w:r w:rsidRPr="009F37BC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9F37BC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преузело генерисани Извештај о јавним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консулотацијама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априла 2023. године.</w:t>
      </w:r>
      <w:bookmarkStart w:id="0" w:name="_GoBack"/>
      <w:bookmarkEnd w:id="0"/>
    </w:p>
    <w:p w:rsidR="00FC3816" w:rsidRPr="001B5133" w:rsidRDefault="00634AF7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ПРИКУПЉАЊЕ КОМЕНАТАРА: </w:t>
      </w:r>
    </w:p>
    <w:p w:rsidR="001B5133" w:rsidRPr="009E34D9" w:rsidRDefault="001E30ED" w:rsidP="009E34D9">
      <w:pPr>
        <w:spacing w:after="5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>У</w:t>
      </w:r>
      <w:r w:rsidR="00634AF7"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34AF7" w:rsidRPr="001B5133">
        <w:rPr>
          <w:rFonts w:ascii="Times New Roman" w:eastAsia="Arial" w:hAnsi="Times New Roman" w:cs="Times New Roman"/>
          <w:sz w:val="24"/>
          <w:szCs w:val="24"/>
        </w:rPr>
        <w:t>току</w:t>
      </w:r>
      <w:proofErr w:type="spellEnd"/>
      <w:r w:rsidR="00634AF7"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34AF7" w:rsidRPr="001B5133">
        <w:rPr>
          <w:rFonts w:ascii="Times New Roman" w:eastAsia="Arial" w:hAnsi="Times New Roman" w:cs="Times New Roman"/>
          <w:sz w:val="24"/>
          <w:szCs w:val="24"/>
        </w:rPr>
        <w:t>ове</w:t>
      </w:r>
      <w:proofErr w:type="spellEnd"/>
      <w:r w:rsidR="00634AF7"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34AF7" w:rsidRPr="001B5133">
        <w:rPr>
          <w:rFonts w:ascii="Times New Roman" w:eastAsia="Arial" w:hAnsi="Times New Roman" w:cs="Times New Roman"/>
          <w:sz w:val="24"/>
          <w:szCs w:val="24"/>
        </w:rPr>
        <w:t>фазе</w:t>
      </w:r>
      <w:proofErr w:type="spellEnd"/>
      <w:r w:rsidR="00634AF7"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34AF7" w:rsidRPr="001B5133">
        <w:rPr>
          <w:rFonts w:ascii="Times New Roman" w:eastAsia="Arial" w:hAnsi="Times New Roman" w:cs="Times New Roman"/>
          <w:sz w:val="24"/>
          <w:szCs w:val="24"/>
        </w:rPr>
        <w:t>процеса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Министарство </w:t>
      </w:r>
      <w:r w:rsidR="00F750B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унутрашње и спољне трговине </w:t>
      </w:r>
      <w:r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је доставило </w:t>
      </w:r>
      <w:proofErr w:type="spellStart"/>
      <w:r w:rsidRPr="001B5133">
        <w:rPr>
          <w:rFonts w:ascii="Times New Roman" w:eastAsia="Arial" w:hAnsi="Times New Roman" w:cs="Times New Roman"/>
          <w:sz w:val="24"/>
          <w:szCs w:val="24"/>
        </w:rPr>
        <w:t>Предлог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proofErr w:type="spellStart"/>
      <w:r w:rsidRPr="001B5133">
        <w:rPr>
          <w:rFonts w:ascii="Times New Roman" w:eastAsia="Arial" w:hAnsi="Times New Roman" w:cs="Times New Roman"/>
          <w:sz w:val="24"/>
          <w:szCs w:val="24"/>
        </w:rPr>
        <w:t>кционог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sz w:val="24"/>
          <w:szCs w:val="24"/>
        </w:rPr>
        <w:t>плана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01292">
        <w:rPr>
          <w:rFonts w:ascii="Times New Roman" w:eastAsia="Arial" w:hAnsi="Times New Roman" w:cs="Times New Roman"/>
          <w:sz w:val="24"/>
          <w:szCs w:val="24"/>
          <w:lang w:val="sr-Cyrl-RS"/>
        </w:rPr>
        <w:t>С</w:t>
      </w:r>
      <w:proofErr w:type="spellStart"/>
      <w:r w:rsidRPr="001B5133">
        <w:rPr>
          <w:rFonts w:ascii="Times New Roman" w:eastAsia="Arial" w:hAnsi="Times New Roman" w:cs="Times New Roman"/>
          <w:sz w:val="24"/>
          <w:szCs w:val="24"/>
        </w:rPr>
        <w:t>тратегије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sz w:val="24"/>
          <w:szCs w:val="24"/>
        </w:rPr>
        <w:t>заштите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sz w:val="24"/>
          <w:szCs w:val="24"/>
        </w:rPr>
        <w:t>потрошача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F37BC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за период 2019 – 2024. године, </w:t>
      </w:r>
      <w:proofErr w:type="spellStart"/>
      <w:r w:rsidRPr="001B5133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sz w:val="24"/>
          <w:szCs w:val="24"/>
        </w:rPr>
        <w:t>период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F37BC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од </w:t>
      </w:r>
      <w:r w:rsidRPr="001B5133">
        <w:rPr>
          <w:rFonts w:ascii="Times New Roman" w:eastAsia="Arial" w:hAnsi="Times New Roman" w:cs="Times New Roman"/>
          <w:sz w:val="24"/>
          <w:szCs w:val="24"/>
        </w:rPr>
        <w:t>2023</w:t>
      </w:r>
      <w:r w:rsidR="00001292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9F37BC">
        <w:rPr>
          <w:rFonts w:ascii="Times New Roman" w:eastAsia="Arial" w:hAnsi="Times New Roman" w:cs="Times New Roman"/>
          <w:sz w:val="24"/>
          <w:szCs w:val="24"/>
          <w:lang w:val="sr-Cyrl-RS"/>
        </w:rPr>
        <w:t>до</w:t>
      </w:r>
      <w:r w:rsidR="00001292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1B5133">
        <w:rPr>
          <w:rFonts w:ascii="Times New Roman" w:eastAsia="Arial" w:hAnsi="Times New Roman" w:cs="Times New Roman"/>
          <w:sz w:val="24"/>
          <w:szCs w:val="24"/>
        </w:rPr>
        <w:t xml:space="preserve">2024. </w:t>
      </w:r>
      <w:proofErr w:type="spellStart"/>
      <w:proofErr w:type="gramStart"/>
      <w:r w:rsidRPr="001B5133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  <w:proofErr w:type="gramEnd"/>
      <w:r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члановима Националног савета за заштиту потрошача на мишљење и коментаре. Предлог акционог плана достављен је </w:t>
      </w:r>
      <w:r w:rsidR="00AD3D75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>24. марта 2023. године</w:t>
      </w:r>
      <w:r w:rsidR="001B5133" w:rsidRPr="001B5133">
        <w:rPr>
          <w:rFonts w:ascii="Times New Roman" w:eastAsia="Arial" w:hAnsi="Times New Roman" w:cs="Times New Roman"/>
          <w:sz w:val="24"/>
          <w:szCs w:val="24"/>
          <w:lang w:val="en-GB"/>
        </w:rPr>
        <w:t>, a</w:t>
      </w:r>
      <w:r w:rsidR="00AD3D75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чланови Националног савета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>за заштиту потрошач</w:t>
      </w:r>
      <w:r w:rsidR="000D13B6">
        <w:rPr>
          <w:rFonts w:ascii="Times New Roman" w:eastAsia="Arial" w:hAnsi="Times New Roman" w:cs="Times New Roman"/>
          <w:sz w:val="24"/>
          <w:szCs w:val="24"/>
          <w:lang w:val="en-GB"/>
        </w:rPr>
        <w:t>a</w:t>
      </w:r>
      <w:r w:rsidR="00AD3D75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који су доставили коментаре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9E34D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су представник 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>Министарств</w:t>
      </w:r>
      <w:r w:rsidR="009E34D9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заштите животне средине</w:t>
      </w:r>
      <w:r w:rsidR="009E34D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представник Сектора тржишне инспекције 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>Министарства унутрашње и спољне трговине</w:t>
      </w:r>
      <w:r w:rsidR="009E34D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>предс</w:t>
      </w:r>
      <w:r w:rsidR="00001292">
        <w:rPr>
          <w:rFonts w:ascii="Times New Roman" w:eastAsia="Arial" w:hAnsi="Times New Roman" w:cs="Times New Roman"/>
          <w:sz w:val="24"/>
          <w:szCs w:val="24"/>
          <w:lang w:val="sr-Cyrl-RS"/>
        </w:rPr>
        <w:t>тавник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Удружења за заштиту права потрошача „Просперитет“</w:t>
      </w:r>
      <w:r w:rsidR="009E34D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001292">
        <w:rPr>
          <w:rFonts w:ascii="Times New Roman" w:eastAsia="Arial" w:hAnsi="Times New Roman" w:cs="Times New Roman"/>
          <w:sz w:val="24"/>
          <w:szCs w:val="24"/>
          <w:lang w:val="sr-Cyrl-RS"/>
        </w:rPr>
        <w:t>представник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У</w:t>
      </w:r>
      <w:r w:rsidR="001B5133" w:rsidRPr="001B5133">
        <w:rPr>
          <w:rFonts w:ascii="Times New Roman" w:eastAsia="Arial" w:hAnsi="Times New Roman" w:cs="Times New Roman"/>
          <w:sz w:val="24"/>
          <w:szCs w:val="24"/>
          <w:lang w:val="en-GB"/>
        </w:rPr>
        <w:t>O</w:t>
      </w:r>
      <w:r w:rsidR="00801734"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Републичке уније потрошача</w:t>
      </w:r>
      <w:r w:rsidR="009E34D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9E34D9">
        <w:rPr>
          <w:rFonts w:ascii="Times New Roman" w:hAnsi="Times New Roman" w:cs="Times New Roman"/>
          <w:bCs/>
          <w:sz w:val="24"/>
          <w:szCs w:val="24"/>
          <w:lang w:val="sr-Cyrl-RS"/>
        </w:rPr>
        <w:t>представник</w:t>
      </w:r>
      <w:r w:rsidR="001B5133" w:rsidRPr="001B51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5133" w:rsidRPr="001B513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E34D9">
        <w:rPr>
          <w:rFonts w:ascii="Times New Roman" w:hAnsi="Times New Roman" w:cs="Times New Roman"/>
          <w:sz w:val="24"/>
          <w:szCs w:val="24"/>
          <w:lang w:val="sr-Cyrl-RS"/>
        </w:rPr>
        <w:t>егулаторне агенције за електронске комуникације и поштанске услуге (Р</w:t>
      </w:r>
      <w:r w:rsidR="001B5133" w:rsidRPr="001B5133">
        <w:rPr>
          <w:rFonts w:ascii="Times New Roman" w:hAnsi="Times New Roman" w:cs="Times New Roman"/>
          <w:sz w:val="24"/>
          <w:szCs w:val="24"/>
          <w:lang w:val="sr-Cyrl-RS"/>
        </w:rPr>
        <w:t>АТЕЛ</w:t>
      </w:r>
      <w:r w:rsidR="009E34D9">
        <w:rPr>
          <w:rFonts w:ascii="Times New Roman" w:hAnsi="Times New Roman" w:cs="Times New Roman"/>
          <w:sz w:val="24"/>
          <w:szCs w:val="24"/>
          <w:lang w:val="sr-Cyrl-RS"/>
        </w:rPr>
        <w:t>), професор</w:t>
      </w:r>
      <w:r w:rsidR="009E7D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34D9">
        <w:rPr>
          <w:rFonts w:ascii="Times New Roman" w:hAnsi="Times New Roman" w:cs="Times New Roman"/>
          <w:sz w:val="24"/>
          <w:szCs w:val="24"/>
          <w:lang w:val="sr-Cyrl-RS"/>
        </w:rPr>
        <w:t xml:space="preserve">Правног </w:t>
      </w:r>
      <w:r w:rsidR="009E7DF5">
        <w:rPr>
          <w:rFonts w:ascii="Times New Roman" w:hAnsi="Times New Roman" w:cs="Times New Roman"/>
          <w:sz w:val="24"/>
          <w:szCs w:val="24"/>
          <w:lang w:val="sr-Cyrl-RS"/>
        </w:rPr>
        <w:t>факултет</w:t>
      </w:r>
      <w:r w:rsidR="009E34D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E7DF5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</w:t>
      </w:r>
      <w:r w:rsidR="009E34D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E7DF5">
        <w:rPr>
          <w:rFonts w:ascii="Times New Roman" w:hAnsi="Times New Roman" w:cs="Times New Roman"/>
          <w:sz w:val="24"/>
          <w:szCs w:val="24"/>
          <w:lang w:val="sr-Cyrl-RS"/>
        </w:rPr>
        <w:t xml:space="preserve"> „Унион“ у Београду</w:t>
      </w:r>
      <w:r w:rsidR="001B513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C3816" w:rsidRDefault="000D13B6" w:rsidP="00292F72">
      <w:pPr>
        <w:spacing w:after="5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знесени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конструктивни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и конкретни предлози у смислу побољшања текста у оном делу који је од значаја за систем заштите права и интереса потрошача у Републици Србији, али и ефикасније представљање даљих корака.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Све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примедбе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достављане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разматране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инкорпориране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текст</w:t>
      </w:r>
      <w:proofErr w:type="spellEnd"/>
      <w:r w:rsidR="004F2DE7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осим предлога који се односи на повећање износа који се планира за подстицање програма удружења за заштиту потрошача, будући да </w:t>
      </w:r>
      <w:r w:rsidR="00A82AD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годишњи </w:t>
      </w:r>
      <w:r w:rsidR="004F2DE7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буџет за доделу подстицајних средстава зависи од </w:t>
      </w:r>
      <w:r w:rsidR="00A82AD8">
        <w:rPr>
          <w:rFonts w:ascii="Times New Roman" w:eastAsia="Arial" w:hAnsi="Times New Roman" w:cs="Times New Roman"/>
          <w:sz w:val="24"/>
          <w:szCs w:val="24"/>
          <w:lang w:val="sr-Cyrl-RS"/>
        </w:rPr>
        <w:t>прихода и примања, расхода и издатака буџета Републике Србије за одређену годину</w:t>
      </w:r>
      <w:r w:rsidR="00A82AD8">
        <w:rPr>
          <w:rFonts w:ascii="Arial" w:hAnsi="Arial" w:cs="Arial"/>
          <w:color w:val="333333"/>
          <w:sz w:val="19"/>
          <w:szCs w:val="19"/>
          <w:shd w:val="clear" w:color="auto" w:fill="FFFFFF"/>
          <w:lang w:val="sr-Cyrl-RS"/>
        </w:rPr>
        <w:t>.</w:t>
      </w:r>
      <w:r w:rsidR="004F2DE7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B15A34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Такође, предлози који </w:t>
      </w:r>
      <w:r w:rsidR="00C50052">
        <w:rPr>
          <w:rFonts w:ascii="Times New Roman" w:eastAsia="Arial" w:hAnsi="Times New Roman" w:cs="Times New Roman"/>
          <w:sz w:val="24"/>
          <w:szCs w:val="24"/>
          <w:lang w:val="sr-Cyrl-RS"/>
        </w:rPr>
        <w:t>се односе на измењене индикаторе из претходног периода Акционог плана (период 2019 – 2022. године) и индикаторе који се односе на период 2023 – 2024. године су разматрани, али су делимично прихваћени будући да су променљиви у смислу праћења трендова и тенденција, па тако и пројектовани на основу статистичких података. Прихваћене су п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римедбе </w:t>
      </w:r>
      <w:r w:rsidR="00C50052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које </w:t>
      </w:r>
      <w:r w:rsidR="004B585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се односе на појачане индикаторе у погледу сарадње удружења за заштиту потрошача, са једне и </w:t>
      </w:r>
      <w:r w:rsidR="004B5850">
        <w:rPr>
          <w:rFonts w:ascii="Times New Roman" w:eastAsia="Arial" w:hAnsi="Times New Roman" w:cs="Times New Roman"/>
          <w:sz w:val="24"/>
          <w:szCs w:val="24"/>
          <w:lang w:val="sr-Cyrl-RS"/>
        </w:rPr>
        <w:lastRenderedPageBreak/>
        <w:t>локалне самоуправе и аутономне покрајине, са друге стране</w:t>
      </w:r>
      <w:r w:rsidR="00A82AD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као и на потребе свеобухватног приступа подршке које, по Закону о заштити потрошача пружају јединице локалне самоуправе и </w:t>
      </w:r>
      <w:r w:rsidR="00A22D8E">
        <w:rPr>
          <w:rFonts w:ascii="Times New Roman" w:eastAsia="Arial" w:hAnsi="Times New Roman" w:cs="Times New Roman"/>
          <w:sz w:val="24"/>
          <w:szCs w:val="24"/>
          <w:lang w:val="sr-Cyrl-RS"/>
        </w:rPr>
        <w:t>органи аутономне покрајине</w:t>
      </w:r>
      <w:r w:rsidR="004B5850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="00A22D8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Поред тога, дат је и конструктиван предлог да се у даље кораке извршења заштите потрошача </w:t>
      </w:r>
      <w:r w:rsidR="004306B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планира и усвајање Правилника о </w:t>
      </w:r>
      <w:r w:rsidR="00A92DA5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евиденцији потрошачких спорова </w:t>
      </w:r>
      <w:r w:rsidR="004306B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за које је задужено министарство надлежно за правосуђе, односно Министарство правде. Додатно је указано и на промену институционалне надлежности министарства задуженог за спровођење Закона о заштити потрошача и на потребу </w:t>
      </w:r>
      <w:r w:rsidR="00056E67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такве </w:t>
      </w:r>
      <w:r w:rsidR="004306B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измене у самом тексту </w:t>
      </w:r>
      <w:r w:rsidR="00056E67">
        <w:rPr>
          <w:rFonts w:ascii="Times New Roman" w:eastAsia="Arial" w:hAnsi="Times New Roman" w:cs="Times New Roman"/>
          <w:sz w:val="24"/>
          <w:szCs w:val="24"/>
          <w:lang w:val="sr-Cyrl-RS"/>
        </w:rPr>
        <w:t>Предлога а</w:t>
      </w:r>
      <w:r w:rsidR="004306B3">
        <w:rPr>
          <w:rFonts w:ascii="Times New Roman" w:eastAsia="Arial" w:hAnsi="Times New Roman" w:cs="Times New Roman"/>
          <w:sz w:val="24"/>
          <w:szCs w:val="24"/>
          <w:lang w:val="sr-Cyrl-RS"/>
        </w:rPr>
        <w:t>кционог плана</w:t>
      </w:r>
      <w:r w:rsidR="00056E67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. </w:t>
      </w:r>
    </w:p>
    <w:p w:rsidR="003A3BDC" w:rsidRPr="001B5133" w:rsidRDefault="003A3BDC" w:rsidP="00292F72">
      <w:pPr>
        <w:spacing w:after="5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thick" w:sz="20" w:space="0" w:color="auto"/>
          <w:left w:val="thick" w:sz="20" w:space="0" w:color="auto"/>
          <w:bottom w:val="thick" w:sz="20" w:space="0" w:color="auto"/>
          <w:right w:val="thick" w:sz="20" w:space="0" w:color="auto"/>
          <w:insideH w:val="single" w:sz="0" w:space="0" w:color="auto"/>
          <w:insideV w:val="single" w:sz="0" w:space="0" w:color="auto"/>
        </w:tblBorders>
        <w:tblCellMar>
          <w:top w:w="70" w:type="dxa"/>
          <w:left w:w="70" w:type="dxa"/>
          <w:bottom w:w="90" w:type="dxa"/>
          <w:right w:w="70" w:type="dxa"/>
        </w:tblCellMar>
        <w:tblLook w:val="0000" w:firstRow="0" w:lastRow="0" w:firstColumn="0" w:lastColumn="0" w:noHBand="0" w:noVBand="0"/>
      </w:tblPr>
      <w:tblGrid>
        <w:gridCol w:w="6459"/>
        <w:gridCol w:w="28"/>
        <w:gridCol w:w="3633"/>
      </w:tblGrid>
      <w:tr w:rsidR="001E30ED" w:rsidRPr="001B5133" w:rsidTr="00D32A1C">
        <w:tc>
          <w:tcPr>
            <w:tcW w:w="10120" w:type="dxa"/>
            <w:gridSpan w:val="3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ОПШТА СТАТИСТИКА КОМЕНТАРА У ФАЗИ КОНСУЛТАТИВНОГ ПРОЦЕСА: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Укупан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8C304C" w:rsidRDefault="008C304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прихваћених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8C304C" w:rsidRDefault="008C304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одбачених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8C304C" w:rsidRDefault="008C304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делимично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прихваћених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исти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текста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општих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специфичних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8C304C" w:rsidRDefault="008C304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Процентуално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учешће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које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није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дат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одговор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30ED" w:rsidRPr="001B5133" w:rsidTr="00D32A1C">
        <w:tc>
          <w:tcPr>
            <w:tcW w:w="10120" w:type="dxa"/>
            <w:gridSpan w:val="3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ОПШТА СТАТИСТИКА ПРИМЕНЕ МЕТОДА КОНСУЛТАЦИЈА У ПРОЦЕСУ: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Укупан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412E8B" w:rsidRDefault="00C0665D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Панел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дискусија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Округли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сто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Фокус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група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Анкета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Прикупљање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8C304C" w:rsidRDefault="008C304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100%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панела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округлих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столова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фокус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група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анкета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прикупљања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писаних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8C304C" w:rsidRDefault="008C304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</w:tbl>
    <w:p w:rsidR="00634AF7" w:rsidRPr="00DC0D41" w:rsidRDefault="00634AF7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34AF7" w:rsidRPr="00DC0D41" w:rsidSect="000F17D1">
      <w:pgSz w:w="12240" w:h="15840"/>
      <w:pgMar w:top="1276" w:right="1000" w:bottom="1135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A5D37"/>
    <w:multiLevelType w:val="hybridMultilevel"/>
    <w:tmpl w:val="7C82FB8C"/>
    <w:lvl w:ilvl="0" w:tplc="66566F3A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16"/>
    <w:rsid w:val="00001292"/>
    <w:rsid w:val="00056E67"/>
    <w:rsid w:val="000D13B6"/>
    <w:rsid w:val="000F17D1"/>
    <w:rsid w:val="001B5133"/>
    <w:rsid w:val="001E30ED"/>
    <w:rsid w:val="00292F72"/>
    <w:rsid w:val="002A48B4"/>
    <w:rsid w:val="003A3BDC"/>
    <w:rsid w:val="00412E8B"/>
    <w:rsid w:val="004306B3"/>
    <w:rsid w:val="004B5850"/>
    <w:rsid w:val="004F2DE7"/>
    <w:rsid w:val="00634AF7"/>
    <w:rsid w:val="00790AA0"/>
    <w:rsid w:val="00801734"/>
    <w:rsid w:val="00877AFE"/>
    <w:rsid w:val="008C304C"/>
    <w:rsid w:val="009E34D9"/>
    <w:rsid w:val="009E7DF5"/>
    <w:rsid w:val="009F37BC"/>
    <w:rsid w:val="00A22D8E"/>
    <w:rsid w:val="00A82AD8"/>
    <w:rsid w:val="00A92DA5"/>
    <w:rsid w:val="00AA4782"/>
    <w:rsid w:val="00AD3D75"/>
    <w:rsid w:val="00B15A34"/>
    <w:rsid w:val="00C0665D"/>
    <w:rsid w:val="00C50052"/>
    <w:rsid w:val="00D32A1C"/>
    <w:rsid w:val="00DC0D41"/>
    <w:rsid w:val="00E32996"/>
    <w:rsid w:val="00F750B8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26AA"/>
  <w15:docId w15:val="{3FC6016E-1891-490C-A482-AD57ED3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3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D13B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3B6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Оливера Марић</cp:lastModifiedBy>
  <cp:revision>16</cp:revision>
  <dcterms:created xsi:type="dcterms:W3CDTF">2023-04-10T11:20:00Z</dcterms:created>
  <dcterms:modified xsi:type="dcterms:W3CDTF">2023-04-18T08:53:00Z</dcterms:modified>
</cp:coreProperties>
</file>